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Justice Thurman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LIFESTANCE HEALTH GROUP,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4800 N. SCOTTSDALE ROAD, 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SCOTTSDALE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07/02/2026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LifeStance Health Group, Inc.</w:t>
              </w:r>
            </w:hyperlink>
            <w:r>
              <w:rPr/>
              <w:t xml:space="preserve"> [ </w:t>
            </w:r>
            <w:r>
              <w:rPr>
                <w:rFonts w:ascii="Times;serif" w:hAnsi="Times;serif"/>
                <w:color w:val="0000FF"/>
                <w:sz w:val="24"/>
                <w:shd w:fill="FFFFFF" w:val="clear"/>
              </w:rPr>
              <w:t>LFST</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Pardo,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lfst-ex24.htm"/>
      <w:bookmarkStart w:id="3" w:name="kslfstex24"/>
      <w:bookmarkEnd w:id="2"/>
      <w:bookmarkEnd w:id="3"/>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24</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LIMITED POWER OF ATTORNEY</w:t>
      </w:r>
    </w:p>
    <w:p>
      <w:pPr>
        <w:pStyle w:val="TextBody"/>
        <w:bidi w:val="0"/>
        <w:jc w:val="left"/>
        <w:rPr>
          <w:rFonts w:ascii="Times New Roman" w:hAnsi="Times New Roman"/>
          <w:color w:val="000000"/>
          <w:sz w:val="20"/>
        </w:rPr>
      </w:pPr>
      <w:r>
        <w:rPr>
          <w:rFonts w:ascii="Times New Roman" w:hAnsi="Times New Roman"/>
          <w:color w:val="000000"/>
          <w:sz w:val="20"/>
        </w:rPr>
        <w:t>The undersigned hereby constitutes and appoints David Bourdon, Ryan McGroarty and Ryan Pardo, and each of them individually, with full power of substitution, as the undersigned's true and lawful attorney-in-fact to:</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execute for and on behalf of the undersigned, in the undersigned's capacity as officer and/or director of LifeStance Health Group, Inc. (the "Company"), Forms 3, 4, 5 and any Schedules 13D or 13G in accordance with Section 16(a) of the Securities Exchange Act of 1934, as amended, and the rules thereunder;</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do and perform any and all acts for and on behalf of the undersigned that may be necessary or desirable to complete and execute any such Form 3, 4, or 5 or Schedule 13D or 13G, complete and execute any amendment or amendments thereto, and timely file such form with the SEC and any stock exchange or similar authority;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take any other action of any type whatsoever in connection with the foregoing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pStyle w:val="TextBody"/>
        <w:bidi w:val="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5, and any Schedules 13D or 13G with respect to the undersigned's holdings of and transactions in securities issued by the Company, unless earlier revoked by the undersigned in a signed writing delivered to each foregoing attorney-in-fact.</w:t>
      </w:r>
    </w:p>
    <w:p>
      <w:pPr>
        <w:pStyle w:val="TextBody"/>
        <w:bidi w:val="0"/>
        <w:jc w:val="center"/>
        <w:rPr>
          <w:rFonts w:ascii="Times New Roman" w:hAnsi="Times New Roman"/>
          <w:color w:val="000000"/>
          <w:sz w:val="20"/>
        </w:rPr>
      </w:pPr>
      <w:r>
        <w:rPr>
          <w:rFonts w:ascii="Times New Roman" w:hAnsi="Times New Roman"/>
          <w:color w:val="000000"/>
          <w:sz w:val="20"/>
        </w:rPr>
        <w:t>[Remainder of page intentionally left blank]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this 18th day of June, 2026.</w:t>
      </w:r>
    </w:p>
    <w:tbl>
      <w:tblPr>
        <w:tblW w:w="10205" w:type="dxa"/>
        <w:jc w:val="left"/>
        <w:tblInd w:w="0" w:type="dxa"/>
        <w:tblLayout w:type="fixed"/>
        <w:tblCellMar>
          <w:top w:w="28" w:type="dxa"/>
          <w:left w:w="28" w:type="dxa"/>
          <w:bottom w:w="28" w:type="dxa"/>
          <w:right w:w="28" w:type="dxa"/>
        </w:tblCellMar>
      </w:tblPr>
      <w:tblGrid>
        <w:gridCol w:w="182"/>
        <w:gridCol w:w="10023"/>
      </w:tblGrid>
      <w:tr>
        <w:trPr/>
        <w:tc>
          <w:tcPr>
            <w:tcW w:w="182" w:type="dxa"/>
            <w:tcBorders/>
            <w:vAlign w:val="center"/>
          </w:tcPr>
          <w:p>
            <w:pPr>
              <w:pStyle w:val="TableContents"/>
              <w:bidi w:val="0"/>
              <w:spacing w:before="0" w:after="283"/>
              <w:jc w:val="left"/>
              <w:rPr>
                <w:sz w:val="4"/>
                <w:szCs w:val="4"/>
              </w:rPr>
            </w:pPr>
            <w:r>
              <w:rPr>
                <w:sz w:val="4"/>
                <w:szCs w:val="4"/>
              </w:rPr>
            </w:r>
          </w:p>
        </w:tc>
        <w:tc>
          <w:tcPr>
            <w:tcW w:w="10023" w:type="dxa"/>
            <w:tcBorders/>
            <w:vAlign w:val="center"/>
          </w:tcPr>
          <w:p>
            <w:pPr>
              <w:pStyle w:val="TableContents"/>
              <w:bidi w:val="0"/>
              <w:spacing w:before="0" w:after="283"/>
              <w:jc w:val="left"/>
              <w:rPr>
                <w:sz w:val="4"/>
                <w:szCs w:val="4"/>
              </w:rPr>
            </w:pPr>
            <w:r>
              <w:rPr>
                <w:sz w:val="4"/>
                <w:szCs w:val="4"/>
              </w:rPr>
            </w:r>
          </w:p>
        </w:tc>
      </w:tr>
      <w:tr>
        <w:trPr/>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3" w:type="dxa"/>
            <w:tcBorders/>
            <w:tcMar>
              <w:top w:w="0" w:type="dxa"/>
              <w:left w:w="0" w:type="dxa"/>
              <w:bottom w:w="0" w:type="dxa"/>
              <w:right w:w="0" w:type="dxa"/>
            </w:tcMar>
            <w:vAlign w:val="center"/>
          </w:tcPr>
          <w:p>
            <w:pPr>
              <w:pStyle w:val="TableContents"/>
              <w:bidi w:val="0"/>
              <w:spacing w:before="0" w:after="283"/>
              <w:ind w:left="0" w:right="0" w:firstLine="8595"/>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firstLine="8595"/>
              <w:jc w:val="left"/>
              <w:rPr>
                <w:rFonts w:ascii="Times New Roman" w:hAnsi="Times New Roman"/>
                <w:color w:val="000000"/>
                <w:sz w:val="20"/>
              </w:rPr>
            </w:pPr>
            <w:r>
              <w:rPr>
                <w:rFonts w:ascii="Times New Roman" w:hAnsi="Times New Roman"/>
                <w:color w:val="000000"/>
                <w:sz w:val="20"/>
              </w:rPr>
              <w:t>/s/ Justice Thurman</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firstLine="8595"/>
              <w:jc w:val="left"/>
              <w:rPr>
                <w:rFonts w:ascii="Times New Roman" w:hAnsi="Times New Roman"/>
                <w:color w:val="000000"/>
                <w:sz w:val="20"/>
              </w:rPr>
            </w:pPr>
            <w:r>
              <w:rPr>
                <w:rFonts w:ascii="Times New Roman" w:hAnsi="Times New Roman"/>
                <w:color w:val="000000"/>
                <w:sz w:val="20"/>
              </w:rPr>
              <w:t>Name: Justice Thurman</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1669" TargetMode="External"/><Relationship Id="rId3" Type="http://schemas.openxmlformats.org/officeDocument/2006/relationships/hyperlink" Target="http://www.sec.gov/cgi-bin/browse-edgar?action=getcompany&amp;CIK=000184525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950</Words>
  <Characters>5060</Characters>
  <CharactersWithSpaces>5965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